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63D" w:rsidRPr="0087163D" w:rsidRDefault="0087163D" w:rsidP="0087163D">
      <w:pPr>
        <w:tabs>
          <w:tab w:val="left" w:pos="709"/>
        </w:tabs>
        <w:spacing w:after="0" w:line="240" w:lineRule="exact"/>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 xml:space="preserve">Заголовок: </w:t>
      </w:r>
      <w:r w:rsidRPr="0087163D">
        <w:rPr>
          <w:rFonts w:ascii="Times New Roman" w:eastAsia="Calibri" w:hAnsi="Times New Roman" w:cs="Times New Roman"/>
          <w:b/>
          <w:sz w:val="28"/>
          <w:szCs w:val="28"/>
        </w:rPr>
        <w:t>«</w:t>
      </w:r>
      <w:r w:rsidRPr="0087163D">
        <w:rPr>
          <w:rFonts w:ascii="Times New Roman" w:eastAsia="Calibri" w:hAnsi="Times New Roman" w:cs="Times New Roman"/>
          <w:b/>
          <w:bCs/>
          <w:sz w:val="28"/>
          <w:szCs w:val="28"/>
        </w:rPr>
        <w:t>О реализации образовательных программ с применением дистанционных образовательных технологий</w:t>
      </w:r>
      <w:r w:rsidRPr="0087163D">
        <w:rPr>
          <w:rFonts w:ascii="Times New Roman" w:eastAsia="Calibri" w:hAnsi="Times New Roman" w:cs="Times New Roman"/>
          <w:b/>
          <w:sz w:val="28"/>
          <w:szCs w:val="28"/>
        </w:rPr>
        <w:t>».</w:t>
      </w:r>
    </w:p>
    <w:p w:rsidR="0087163D" w:rsidRPr="0087163D" w:rsidRDefault="0087163D" w:rsidP="0087163D">
      <w:pPr>
        <w:tabs>
          <w:tab w:val="left" w:pos="709"/>
        </w:tabs>
        <w:spacing w:after="0" w:line="240" w:lineRule="auto"/>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В соответствии с частью 2 статьи 16 Федерального закона «Об образовании в Российской Федерации»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Постановлением Правительства Российской Федерации от 11.10.2023 № 1678 утверждены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Документ вступил в силу 1 сентября 2024 года.</w:t>
      </w:r>
    </w:p>
    <w:p w:rsidR="0087163D" w:rsidRPr="0087163D" w:rsidRDefault="0087163D" w:rsidP="0087163D">
      <w:pPr>
        <w:tabs>
          <w:tab w:val="left" w:pos="709"/>
        </w:tabs>
        <w:spacing w:after="0" w:line="240" w:lineRule="auto"/>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7163D" w:rsidRPr="0087163D" w:rsidRDefault="0087163D" w:rsidP="0087163D">
      <w:pPr>
        <w:tabs>
          <w:tab w:val="left" w:pos="709"/>
        </w:tabs>
        <w:spacing w:after="0" w:line="240" w:lineRule="auto"/>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При реализации образовательных программ или их частей с применением таких технологий организация, осуществляющая образовательную деятельность, 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87163D" w:rsidRPr="0087163D" w:rsidRDefault="0087163D" w:rsidP="0087163D">
      <w:pPr>
        <w:tabs>
          <w:tab w:val="left" w:pos="709"/>
        </w:tabs>
        <w:spacing w:after="0" w:line="240" w:lineRule="auto"/>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87163D" w:rsidRPr="0087163D" w:rsidRDefault="0087163D" w:rsidP="0087163D">
      <w:pPr>
        <w:tabs>
          <w:tab w:val="left" w:pos="709"/>
        </w:tabs>
        <w:spacing w:after="0" w:line="240" w:lineRule="auto"/>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Образовательные организации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(за исключением дополнительных профессиональных программ и основных программ профессионального обучения)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сайте образовательной организации.</w:t>
      </w:r>
    </w:p>
    <w:p w:rsidR="0087163D" w:rsidRPr="0087163D" w:rsidRDefault="0087163D" w:rsidP="0087163D">
      <w:pPr>
        <w:tabs>
          <w:tab w:val="left" w:pos="709"/>
        </w:tabs>
        <w:spacing w:after="0" w:line="240" w:lineRule="auto"/>
        <w:ind w:firstLine="709"/>
        <w:jc w:val="both"/>
        <w:rPr>
          <w:rFonts w:ascii="Times New Roman" w:eastAsia="Calibri" w:hAnsi="Times New Roman" w:cs="Times New Roman"/>
          <w:sz w:val="28"/>
          <w:szCs w:val="28"/>
        </w:rPr>
      </w:pPr>
      <w:r w:rsidRPr="0087163D">
        <w:rPr>
          <w:rFonts w:ascii="Times New Roman" w:eastAsia="Calibri" w:hAnsi="Times New Roman" w:cs="Times New Roman"/>
          <w:sz w:val="28"/>
          <w:szCs w:val="28"/>
        </w:rPr>
        <w:t xml:space="preserve">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w:t>
      </w:r>
      <w:r w:rsidRPr="0087163D">
        <w:rPr>
          <w:rFonts w:ascii="Times New Roman" w:eastAsia="Calibri" w:hAnsi="Times New Roman" w:cs="Times New Roman"/>
          <w:sz w:val="28"/>
          <w:szCs w:val="28"/>
        </w:rPr>
        <w:lastRenderedPageBreak/>
        <w:t>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образовательной организации</w:t>
      </w:r>
    </w:p>
    <w:p w:rsidR="0087163D" w:rsidRDefault="0087163D" w:rsidP="00440FE5">
      <w:pPr>
        <w:tabs>
          <w:tab w:val="left" w:pos="709"/>
        </w:tabs>
        <w:spacing w:after="0" w:line="240" w:lineRule="exact"/>
        <w:ind w:firstLine="709"/>
        <w:jc w:val="both"/>
        <w:rPr>
          <w:rFonts w:ascii="Times New Roman" w:eastAsia="Calibri" w:hAnsi="Times New Roman" w:cs="Times New Roman"/>
          <w:sz w:val="28"/>
          <w:szCs w:val="28"/>
        </w:rPr>
      </w:pPr>
    </w:p>
    <w:p w:rsidR="00440FE5" w:rsidRPr="007D24E6" w:rsidRDefault="00440FE5" w:rsidP="00440FE5">
      <w:pPr>
        <w:tabs>
          <w:tab w:val="left" w:pos="709"/>
        </w:tabs>
        <w:spacing w:after="0" w:line="240" w:lineRule="exact"/>
        <w:ind w:firstLine="709"/>
        <w:jc w:val="both"/>
        <w:rPr>
          <w:rFonts w:ascii="Times New Roman" w:eastAsia="Calibri" w:hAnsi="Times New Roman" w:cs="Times New Roman"/>
          <w:sz w:val="28"/>
          <w:szCs w:val="28"/>
        </w:rPr>
      </w:pPr>
      <w:bookmarkStart w:id="0" w:name="_GoBack"/>
      <w:bookmarkEnd w:id="0"/>
      <w:r w:rsidRPr="007D24E6">
        <w:rPr>
          <w:rFonts w:ascii="Times New Roman" w:eastAsia="Calibri" w:hAnsi="Times New Roman" w:cs="Times New Roman"/>
          <w:sz w:val="28"/>
          <w:szCs w:val="28"/>
        </w:rPr>
        <w:t xml:space="preserve">Заголовок: </w:t>
      </w:r>
      <w:r w:rsidRPr="00127A23">
        <w:rPr>
          <w:rFonts w:ascii="Times New Roman" w:eastAsia="Calibri" w:hAnsi="Times New Roman" w:cs="Times New Roman"/>
          <w:b/>
          <w:sz w:val="28"/>
          <w:szCs w:val="28"/>
        </w:rPr>
        <w:t>«</w:t>
      </w:r>
      <w:r w:rsidRPr="00127A23">
        <w:rPr>
          <w:rFonts w:ascii="Times New Roman" w:eastAsia="Calibri" w:hAnsi="Times New Roman" w:cs="Times New Roman"/>
          <w:b/>
          <w:bCs/>
          <w:sz w:val="28"/>
          <w:szCs w:val="28"/>
        </w:rPr>
        <w:t>Установлена многоступенчатая прогрессивная шкала налога на доходы физических лиц и изменены налоговые ставки в различных отраслях</w:t>
      </w:r>
      <w:r w:rsidRPr="00127A23">
        <w:rPr>
          <w:rFonts w:ascii="Times New Roman" w:eastAsia="Calibri" w:hAnsi="Times New Roman" w:cs="Times New Roman"/>
          <w:b/>
          <w:sz w:val="28"/>
          <w:szCs w:val="28"/>
        </w:rPr>
        <w:t>».</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12 июля 2024 года подписан Федеральный закон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направленный на реформирование налоговой системы.</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С 2025 года вводится многоступенчатая прогрессивная шкала налога на доходы физических лиц со ставками от 13% до 22%. Повышение НДФЛ не касается участников специальной военной операции, а также дополнительных выплат и надбавок, которые получают граждане, работающие в районах Крайнего Севера, приравненных к ним местностях, в других регионах с неблагоприятными или особыми климатическими и экологическими условиями.</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Предусмотрены новые налоговые вычеты, в том числе для семей с двумя и более детьми. Налоговый вычет за сдачу нормативов ГТО составляет 18 тыс. руб.</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 xml:space="preserve">Ставка по налогу на прибыль повышена до 25%. До 2030 года для ИТ-компаний она составляет 5%. Они могут применять льготы в том числе при реорганизации в форме выделения. Для предприятий радиоэлектронной промышленности расширен перечень доходов, которые учитываются для применения пониженных тарифов страховых взносов. По расходам </w:t>
      </w:r>
      <w:proofErr w:type="gramStart"/>
      <w:r w:rsidRPr="00127A23">
        <w:rPr>
          <w:rFonts w:ascii="Times New Roman" w:eastAsia="Times New Roman" w:hAnsi="Times New Roman" w:cs="Times New Roman"/>
          <w:sz w:val="28"/>
          <w:szCs w:val="28"/>
          <w:lang w:eastAsia="ru-RU"/>
        </w:rPr>
        <w:t>на научно-исследовательских и опытно-конструкторских работ</w:t>
      </w:r>
      <w:proofErr w:type="gramEnd"/>
      <w:r w:rsidRPr="00127A23">
        <w:rPr>
          <w:rFonts w:ascii="Times New Roman" w:eastAsia="Times New Roman" w:hAnsi="Times New Roman" w:cs="Times New Roman"/>
          <w:sz w:val="28"/>
          <w:szCs w:val="28"/>
          <w:lang w:eastAsia="ru-RU"/>
        </w:rPr>
        <w:t xml:space="preserve"> и на права пользования российскими программами для электронно-вычислительных машин применяется коэффициент 2.</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Регионы могут вводить пониженные ставки налога на прибыль малых технологических компаний. Сняты ограничения по видам научно-исследовательских и опытно-конструкторских работ, по расходам на которые применяется повышающий коэффициент.</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Предусмотрена налоговая амнистия для налогоплательщиков, добровольно отказавшихся от дробления бизнеса.</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 xml:space="preserve">Курортный сбор преобразован в туристический налог. Муниципалитеты самостоятельно определяют необходимость его введения и размеры ставок. Ставка налога будет расти постепенно начиная с 1% от стоимости проживания в 2025 году и прибавляя по 1% в год до 2029 года, далее - не выше 5%. Налог </w:t>
      </w:r>
      <w:r w:rsidRPr="00127A23">
        <w:rPr>
          <w:rFonts w:ascii="Times New Roman" w:eastAsia="Times New Roman" w:hAnsi="Times New Roman" w:cs="Times New Roman"/>
          <w:sz w:val="28"/>
          <w:szCs w:val="28"/>
          <w:lang w:eastAsia="ru-RU"/>
        </w:rPr>
        <w:lastRenderedPageBreak/>
        <w:t>уплачивается в бюджет по месту нахождения гостиниц. Он не исчисляется со стоимости услуги по проживанию некоторых категорий граждан, в том числе участников специальной военной операции.</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 xml:space="preserve">Появился акциз на никотиновое сырье и </w:t>
      </w:r>
      <w:proofErr w:type="spellStart"/>
      <w:r w:rsidRPr="00127A23">
        <w:rPr>
          <w:rFonts w:ascii="Times New Roman" w:eastAsia="Times New Roman" w:hAnsi="Times New Roman" w:cs="Times New Roman"/>
          <w:sz w:val="28"/>
          <w:szCs w:val="28"/>
          <w:lang w:eastAsia="ru-RU"/>
        </w:rPr>
        <w:t>бестабачную</w:t>
      </w:r>
      <w:proofErr w:type="spellEnd"/>
      <w:r w:rsidRPr="00127A23">
        <w:rPr>
          <w:rFonts w:ascii="Times New Roman" w:eastAsia="Times New Roman" w:hAnsi="Times New Roman" w:cs="Times New Roman"/>
          <w:sz w:val="28"/>
          <w:szCs w:val="28"/>
          <w:lang w:eastAsia="ru-RU"/>
        </w:rPr>
        <w:t xml:space="preserve"> </w:t>
      </w:r>
      <w:proofErr w:type="spellStart"/>
      <w:r w:rsidRPr="00127A23">
        <w:rPr>
          <w:rFonts w:ascii="Times New Roman" w:eastAsia="Times New Roman" w:hAnsi="Times New Roman" w:cs="Times New Roman"/>
          <w:sz w:val="28"/>
          <w:szCs w:val="28"/>
          <w:lang w:eastAsia="ru-RU"/>
        </w:rPr>
        <w:t>никотинсо</w:t>
      </w:r>
      <w:proofErr w:type="spellEnd"/>
      <w:r w:rsidRPr="00127A23">
        <w:rPr>
          <w:rFonts w:ascii="Times New Roman" w:eastAsia="Times New Roman" w:hAnsi="Times New Roman" w:cs="Times New Roman"/>
          <w:sz w:val="28"/>
          <w:szCs w:val="28"/>
          <w:lang w:eastAsia="ru-RU"/>
        </w:rPr>
        <w:t xml:space="preserve"> держащую смесь для нагревания. Подакцизными товарами признали </w:t>
      </w:r>
      <w:proofErr w:type="spellStart"/>
      <w:r w:rsidRPr="00127A23">
        <w:rPr>
          <w:rFonts w:ascii="Times New Roman" w:eastAsia="Times New Roman" w:hAnsi="Times New Roman" w:cs="Times New Roman"/>
          <w:sz w:val="28"/>
          <w:szCs w:val="28"/>
          <w:lang w:eastAsia="ru-RU"/>
        </w:rPr>
        <w:t>фармсубстанцию</w:t>
      </w:r>
      <w:proofErr w:type="spellEnd"/>
      <w:r w:rsidRPr="00127A23">
        <w:rPr>
          <w:rFonts w:ascii="Times New Roman" w:eastAsia="Times New Roman" w:hAnsi="Times New Roman" w:cs="Times New Roman"/>
          <w:sz w:val="28"/>
          <w:szCs w:val="28"/>
          <w:lang w:eastAsia="ru-RU"/>
        </w:rPr>
        <w:t xml:space="preserve"> этилового спирта, спиртосодержащие лекарства и природный газ для производства аммиака.</w:t>
      </w:r>
    </w:p>
    <w:p w:rsidR="00440FE5" w:rsidRPr="00127A23"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Регионы вправе устанавливать более высокие ставки налогов на дорогое имущество.</w:t>
      </w:r>
    </w:p>
    <w:p w:rsidR="00440FE5" w:rsidRDefault="00440FE5" w:rsidP="00440FE5">
      <w:pPr>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 xml:space="preserve">Повышен порог для перехода на упрошенную систему налогообложения. Компании и предприниматели, применяющие этот </w:t>
      </w:r>
      <w:proofErr w:type="spellStart"/>
      <w:r w:rsidRPr="00127A23">
        <w:rPr>
          <w:rFonts w:ascii="Times New Roman" w:eastAsia="Times New Roman" w:hAnsi="Times New Roman" w:cs="Times New Roman"/>
          <w:sz w:val="28"/>
          <w:szCs w:val="28"/>
          <w:lang w:eastAsia="ru-RU"/>
        </w:rPr>
        <w:t>спецрежим</w:t>
      </w:r>
      <w:proofErr w:type="spellEnd"/>
      <w:r w:rsidRPr="00127A23">
        <w:rPr>
          <w:rFonts w:ascii="Times New Roman" w:eastAsia="Times New Roman" w:hAnsi="Times New Roman" w:cs="Times New Roman"/>
          <w:sz w:val="28"/>
          <w:szCs w:val="28"/>
          <w:lang w:eastAsia="ru-RU"/>
        </w:rPr>
        <w:t>, обязаны оплачивать налог на добавочную стоимость. Плательщики упрощенной системы налогообложения с доходом до 60 млн. руб. освобождены от исполнения обязанности налогоплательщика НДС без направления в налоговый орган уведомления.</w:t>
      </w:r>
    </w:p>
    <w:p w:rsidR="00440FE5" w:rsidRDefault="00440FE5" w:rsidP="00440FE5">
      <w:pPr>
        <w:tabs>
          <w:tab w:val="left" w:pos="709"/>
        </w:tabs>
        <w:spacing w:after="0" w:line="240" w:lineRule="exact"/>
        <w:ind w:firstLine="709"/>
        <w:jc w:val="both"/>
        <w:rPr>
          <w:rFonts w:ascii="Times New Roman" w:eastAsia="Calibri" w:hAnsi="Times New Roman" w:cs="Times New Roman"/>
          <w:b/>
          <w:sz w:val="28"/>
          <w:szCs w:val="28"/>
        </w:rPr>
      </w:pPr>
      <w:r w:rsidRPr="007D24E6">
        <w:rPr>
          <w:rFonts w:ascii="Times New Roman" w:eastAsia="Calibri" w:hAnsi="Times New Roman" w:cs="Times New Roman"/>
          <w:sz w:val="28"/>
          <w:szCs w:val="28"/>
        </w:rPr>
        <w:t xml:space="preserve">Заголовок: </w:t>
      </w:r>
      <w:r w:rsidRPr="00127A23">
        <w:rPr>
          <w:rFonts w:ascii="Times New Roman" w:eastAsia="Calibri" w:hAnsi="Times New Roman" w:cs="Times New Roman"/>
          <w:b/>
          <w:sz w:val="28"/>
          <w:szCs w:val="28"/>
        </w:rPr>
        <w:t>«</w:t>
      </w:r>
      <w:r w:rsidRPr="00127A23">
        <w:rPr>
          <w:rFonts w:ascii="Times New Roman" w:eastAsia="Calibri" w:hAnsi="Times New Roman" w:cs="Times New Roman"/>
          <w:b/>
          <w:bCs/>
          <w:sz w:val="28"/>
          <w:szCs w:val="28"/>
        </w:rPr>
        <w:t>С 1 марта 2025 года на территории Российской Федерации будет запрещена продажа безалкогольных тонизирующих напитков, в том числе энергетиков, несовершеннолетним</w:t>
      </w:r>
      <w:r w:rsidRPr="00127A23">
        <w:rPr>
          <w:rFonts w:ascii="Times New Roman" w:eastAsia="Calibri" w:hAnsi="Times New Roman" w:cs="Times New Roman"/>
          <w:b/>
          <w:sz w:val="28"/>
          <w:szCs w:val="28"/>
        </w:rPr>
        <w:t>».</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08.08.2024 принят Федеральный закон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Понятие «безалкогольные тонизирующие напитки (в том числе энергетические)» установлено техническим регламентом Таможенного союза "O безопасности пищевой продукции". К ним отнесены 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Для предотвращения воздействия безалкогольных тонизирующих напитков, в том числе энергетических, на здоровье несовершеннолетних организациям, индивидуальным предпринимателям, крестьянским (фермерским) хозяйствам без образования юридического лица, гражданам Российской Федерации, иностранным гражданам и лицам без гражданства запрещается продажа несовершеннолетним таких напитков.</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Продавец обязан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Следить за соблюдением требований будут уполномоченные региональные органы без проведения плановых контрольно-надзорных мероприятий.</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Законами субъектов РФ может быть установлены ограничения времени и мест продажи таких напитков.</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lastRenderedPageBreak/>
        <w:t>На федеральном уровне в настоящее время таких правил нет. Однако в Московской области и ряде других субъектов РФ продавать тонизирующие напитки, в том числе энергетики, несовершеннолетним в настоящее время запрещено.</w:t>
      </w:r>
    </w:p>
    <w:p w:rsidR="00440FE5" w:rsidRPr="00127A23" w:rsidRDefault="00440FE5" w:rsidP="00440FE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27A23">
        <w:rPr>
          <w:rFonts w:ascii="Times New Roman" w:eastAsia="Times New Roman" w:hAnsi="Times New Roman" w:cs="Times New Roman"/>
          <w:sz w:val="28"/>
          <w:szCs w:val="28"/>
          <w:lang w:eastAsia="ru-RU"/>
        </w:rPr>
        <w:t>Нарушение требований настоящего Федерального закона влечет за собой ответственность в соответствии с законодательством Российской Федерации.</w:t>
      </w:r>
    </w:p>
    <w:p w:rsidR="00440FE5" w:rsidRDefault="00440FE5"/>
    <w:sectPr w:rsidR="00440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E5"/>
    <w:rsid w:val="00440FE5"/>
    <w:rsid w:val="0087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36BD"/>
  <w15:chartTrackingRefBased/>
  <w15:docId w15:val="{96479A8C-0711-4B0D-9F97-7A72F01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Ольга Юрьевна</dc:creator>
  <cp:keywords/>
  <dc:description/>
  <cp:lastModifiedBy>Тихонова Ольга Юрьевна</cp:lastModifiedBy>
  <cp:revision>2</cp:revision>
  <dcterms:created xsi:type="dcterms:W3CDTF">2024-09-09T00:36:00Z</dcterms:created>
  <dcterms:modified xsi:type="dcterms:W3CDTF">2024-09-09T00:36:00Z</dcterms:modified>
</cp:coreProperties>
</file>